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13306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Acordo Coletivo De Trabalho 2015/2016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1330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41330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1330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MT000363/2015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1330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41330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1330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30/06/2015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1330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41330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1330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MR036116/2015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1330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41330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1330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46210.001275/2015-81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1330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41330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1330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29/06/2015 </w:t>
                        </w:r>
                      </w:p>
                    </w:tc>
                  </w:tr>
                </w:tbl>
                <w:p w:rsidR="00000000" w:rsidRDefault="00413306">
                  <w:pPr>
                    <w:rPr>
                      <w:rFonts w:eastAsia="Times New Roman"/>
                    </w:rPr>
                  </w:pPr>
                </w:p>
                <w:p w:rsidR="00000000" w:rsidRDefault="00413306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000000" w:rsidRDefault="00413306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SINDICATO DOS EMPREGADOS DOS CONSELHOS E ORDENS DE FISCALIZACAO DO EXERCICIO PROFISSIONAL DO ESTADO DE MATO GROSSO, CNPJ n. 03.012.413/0001-84, neste ato representado(a) por seu Presidente, Sr(a). REYNALDO DE MAGALHAES PASSOS;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CONSELHO REGIONAL DE FA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RMACIA DO ESTADO DE MATO GROSSO, CNPJ n. 15.081.680/0001-92, neste ato representado(a) por seu Presidente, Sr(a). ALEXANDRE HENRIQUE MAGALHAES 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celebram o presente ACORDO COLETIVO DE TRABALHO, estipulando as condições de trabalho previstas nas cláusulas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partes fixam a vigência do presente Acordo Coletivo de Trabalho no período de 01º de maio de 2015 a 30 de abril de 2016 e a data-base da categoria em 01º de maio.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CLÁUSULA SEGUNDA - ABRANGÊNCIA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presente Acordo Coletivo de Trabalho, aplicável no âmbito da(s) empresa(s) acordante(s),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Todos os funcionários do CRF-MT que pertencem à categoria abrangida pelo SINDIFISC-MT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Barra do Garças/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MT, Cuiabá/MT, Rondonópolis/MT e Sinop/MT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Reajustes/Correções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REAJUSTE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CRF-MT concederá, aos seus empregados, reajuste salarial de 8,34 (oito vírgula trinta e quatro por 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ento) com base na aplicação do “Índice Nacional de Preços ao Consumidor” – INPC, a partir da data que este acordo for oficializado.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Pagamento de Salário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Formas e Prazos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QUARTA - PAGAMENTO DOS VENCIMENTOS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Os pagamentos salariais deverão 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er feitos impreterivelmente até o quinto dia útil do mês subsequente ao mês trabalhado, sendo antecipado para o dia 01 de cada mês desde que haja disponibilidade financeira.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Outras normas referentes a salários, reajustes, pagamentos e critérios para cálc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ulo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COMPENSAÇÕES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São compensáveis todos e quaisquer reajustes, antecipações, abonos e/ou aumentos, espontâneos ou compulsórios, incluídos os decorrentes de aplicação de acordos coletivos, dissídios coletivos e da legislaçã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o, exceto os decorrentes de promoção, equiparação salarial, transferência, implemento de idade, mérito, término de aprendizagem e aumento real concedido expressamente com esta natureza.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Gratificações, Adicionais, Auxílios e Outros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Gratificação de Funç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GRATIFICAÇÃO EM CASO DE SUBSTITUIÇÃO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funcionário que substituir outro funcionário possuidor de cargo de chefia fará jus ao pagamento da gratificação de função percebida pelo substituído, mediante nomeação do Presidente do Consel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ho, através de Portaria, indicando o tempo que perdurará a substituição.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Gratificações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SÉTIMA - GRATIFICAÇÃO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corpodetexto2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CRF efetuará a seus funcionários,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se o orçamento permitir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o pagamento de um abono anual, a título de gratificaçã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o, garantidas as condições mais favoráveis já praticadas.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OITAVA - 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corpodetexto2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CRF-MT concederá aos seus funcionários, lotados com a carga de 40 horas semanais, auxílio alimentação em pecúnia no valor de R$ 10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,00 (dez reais) por dia útil trabalhado.</w:t>
                  </w:r>
                </w:p>
                <w:p w:rsidR="00000000" w:rsidRDefault="00413306">
                  <w:pPr>
                    <w:pStyle w:val="corpodetexto2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13306">
                  <w:pPr>
                    <w:pStyle w:val="corpodetexto2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PRIMEIRO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– Será descontado no mês seguinte o valor diário do auxílio em caso de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ausência do funcionário, independentemente de justificativa apresentada.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  <w:u w:val="single"/>
                    </w:rPr>
                    <w:t> </w:t>
                  </w:r>
                </w:p>
                <w:p w:rsidR="00000000" w:rsidRDefault="00413306">
                  <w:pPr>
                    <w:pStyle w:val="corpodetexto2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SEGUNDO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Este benefício não integra v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erbas salariais, de nenhuma natureza.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  <w:u w:val="single"/>
                    </w:rPr>
                    <w:t> 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TERCEIRO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– O aumento do auxílio alimentação para R$ 10,00 (dez reais), este ano excepcionalmente será aplicado a partir do mês de junho.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Condi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çõ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 de Trabalho, Normas de Pessoal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e Estabilidades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Plano de Cargos e Salários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NONA - IMPLANTAÇÃO DE PCCS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criação e implantação do Plano de Cargos, Carreiras e Salários para o quadro funcional do CRF-MT, obedecerá aos dispositivos legais.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Qualificação/Formação Profis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sional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- APRIMORAMENTO PROFISSIONAL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Conselho proporcionará cursos de “aprimoramento profissional”, a serem ministrados para todos os funcionários, de acordo com a demanda, planejamento da Diretoria e disponibilidade financeira.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Atribuições da Função/Desvio de Função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PRIMEIRA - DAS HORAS EXTRAS DO FUNCIONÁRIO QUE OCUPA CARGO DE CONFIANÇA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funcionário que ocupa função de confiança, recebendo adicional de gratificação de função, não faz jus ao recebimento de h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oras extraordinárias quando em desempenho de funções inerentes a cargo de confiança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que ocupa.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Assédio Moral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SEGUNDA - COMBATE AO ASSÉDIO MORAL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Conselho implementará política de combate permanente ao Assédio Moral no ambiente de 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rabalho, além de garantir que serão acolhidas e devidamente apuradas quaisquer denúncias encaminhadas pelo SINDICATO sobre o assunto.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Estabilidade Geral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TERCEIRA - ESTABILIDADE PRÉ-APOSENTADORIA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Fica assegurada estabilidade aos func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ionários que esteja há 01 (um) ano da aposentadoria.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  <w:u w:val="single"/>
                    </w:rPr>
                    <w:t> 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QUARTA - ESTABILIDADE NO PROCESSO ELEITORAL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É vedada a dispensa de funcionários no período compreendido entre os 3 (três) meses que antecedem as eleiçõ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es de qualquer dos cargos diretivos do Conselho até os 3 (três) meses sucessivos à posse nestes mesmos cargos, garantidas as condições mais favoráveis já praticadas.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Jornada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Dura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Distribui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Controle, Faltas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Jornadas Especiais (m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ulheres, menores, estudantes)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QUINTA - FUNCIONÁRIO ESTUDANTE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Ao funcionário estudante fica garantido os direitos legais.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SEXTA - ACOMPANHAMENTO ESCOLAR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O CRF-MT poderá autorizar que mães ou pais se ausentem das at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ividades para participação de reunião para acompanhamento escolar, condicionado à prévia solicitação com posterior comprovação da participação.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ÚNICO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– A liberação, quando realizada, se dará no período correspondente à reunião de acompanhamento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escolar.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sobre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SÉTIMA - TRABALHO NOTURNO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corpodetexto2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trabalho realizado no período entre 22h00min e 05h00min terá o valor correspondente a hora trabalhada majorada em 25% (vinte e cinco por cento).</w:t>
                  </w:r>
                </w:p>
                <w:p w:rsidR="00000000" w:rsidRDefault="00413306">
                  <w:pPr>
                    <w:pStyle w:val="corpodetexto2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  <w:u w:val="single"/>
                    </w:rPr>
                    <w:t> 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D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ÉCIMA OITAVA - SERVIÇOS EXTERNOS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corpodetexto2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Quando da realização, mediante convocação e/ou ordem de serviço, de atividade laboral que exija deslocamento para outras Cidades e/ou Estados, o funcionário fará jus ao recebimento de diárias conforme estipulado em Delib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erações do CRF-MT.</w:t>
                  </w:r>
                </w:p>
                <w:p w:rsidR="00000000" w:rsidRDefault="00413306">
                  <w:pPr>
                    <w:pStyle w:val="corpodetexto2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13306">
                  <w:pPr>
                    <w:pStyle w:val="corpodetexto2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1º - Em atividades realizadas e/ou deslocamentos para o Município de Várzea Grande (Região Metropolitana da Cuiabá), fica o CRF-MT desobrigado de conceder pagamentos de diárias.</w:t>
                  </w:r>
                </w:p>
                <w:p w:rsidR="00000000" w:rsidRDefault="00413306">
                  <w:pPr>
                    <w:pStyle w:val="corpodetexto2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13306">
                  <w:pPr>
                    <w:pStyle w:val="corpodetexto2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2º - O CRF-MT deve propiciar veículo ou meio de tra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nsporte, sem custo para o trabalhador, para que o mesmo desempenhe a atividade/tarefa para qual foi designado/convocado.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NONA - PROLONGAMENTO DE FERIADOS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CRF planejará e divulgará calendário relativo aos dias intercorrentes aos feria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dos. Nos casos em que houver compensação, esta será de comum acordo entre os funcionários e o chefe do Departamento, não sendo efetuada nos sábados da semana do feriado.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Férias e Licenças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Licença Maternidade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VIGÉSIMA - AMPLIAÇÃO DA LICENÇA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MATERNIDADE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Conselho ampliará a licença maternidade de 120 (cento e vinte) dias para 180 (cento e oitenta) dias consecutivos, sem prejuízo ao salário, dentro da vigência desse acordo coletivo de trabalho.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sobre férias e licenças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PRIMEIRA - FÉRIAS E DÉCIMO TERCEIRO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corpodetexto2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concessão de férias e o pagamento do 13º Salário obedecerão ao disposto na legislação pertinente.</w:t>
                  </w:r>
                </w:p>
                <w:p w:rsidR="00000000" w:rsidRDefault="00413306">
                  <w:pPr>
                    <w:pStyle w:val="corpodetexto2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13306">
                  <w:pPr>
                    <w:pStyle w:val="corpodetexto2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§ 1.º - No ato da marcação de suas férias, em qualquer período, será garantido ao funcionário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direito de optar pela conversão de 1/3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(um terço) das mesmas em abono pecuniário (artigo 7º, inciso XVII, da Constituição Federal), bem como, obter o adiantamento de 50% (cinquenta por cento) do décimo - terceiro salário e o início do período das férias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serem gozadas pelo funcionário não poderá coincidir com sábados, domingos e feriados ou dias já compensados.</w:t>
                  </w:r>
                </w:p>
                <w:p w:rsidR="00000000" w:rsidRDefault="00413306">
                  <w:pPr>
                    <w:pStyle w:val="corpodetexto2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13306">
                  <w:pPr>
                    <w:pStyle w:val="corpodetexto2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2º - Os setores deverão elaborar escala anual de férias, repassando-as para o setor de Recursos Humanos que fará a consolidação e submeterá 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mesma para aprovação da Diretoria do CRF-MT.</w:t>
                  </w:r>
                </w:p>
                <w:p w:rsidR="00000000" w:rsidRDefault="00413306">
                  <w:pPr>
                    <w:pStyle w:val="corpodetexto2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13306">
                  <w:pPr>
                    <w:pStyle w:val="corpodetexto2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3º - Havendo disponibilidade financeira, fica permitido ao CRF-MT o pagamento de 50% (cinquenta por cento) do décimo terceiro salário no mês de aniversário do trabalhador, caso este ainda nã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tenha sido beneficiado pelo parágrafo primeiro deste item.</w:t>
                  </w:r>
                </w:p>
                <w:p w:rsidR="00000000" w:rsidRDefault="00413306">
                  <w:pPr>
                    <w:pStyle w:val="corpodetexto2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SEGUNDA - LICENÇA PATERNIDADE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Conselho concederá a seus funcionários-pais licença paternidade de 10 (dez) dias corridos,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contados a partir da data do nascimento e/ou ad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oção do filho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br/>
                    <w:t xml:space="preserve">CLÁUSULA VIGÉSIMA TERCEIRA - LICENÇA NOJO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Sem prejuízo da remuneração, poderá o funcionário ausentar-se do serviço por 03 (três) dias corridos, em razão do falecimento do cônjuge, companheiro, pais, madrasta, padrasto, irmãos, filhos,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enteados, e menores sob sua guarda ou tutela.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ÚNICO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: Será assegurado o abono do dia de velório/sepultamento de demais parentes do funcionário.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QUARTA - LICENÇA GALA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corpodetexto2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Conselho concederá licença gala de 05 (cinco) dias 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rridos, contados da data do casamento.</w:t>
                  </w:r>
                </w:p>
                <w:p w:rsidR="00000000" w:rsidRDefault="00413306">
                  <w:pPr>
                    <w:pStyle w:val="corpodetexto2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  <w:u w:val="single"/>
                    </w:rPr>
                    <w:t> 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Saúde e Segurança do Trabalhador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Uniforme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QUINTA - UNIFORMES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Quando da exigência do uso de uniforme, este será fornecido gratuitamente aos seus funcionários.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§1º - O funcionário será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obrigado a usá-lo e não havendo justificativa pela ausência do uniforme, poderá ser advertido.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§2º - O modelo do uniforme será decidido pela Diretoria do CRF-MT, após consulta  aos funcionários.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§3º - Serão concedidos no máximo 03 (três) jogos de unifo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rmes para cada funcionário, devendo o mesmo zelar pela sua conservação e limpeza.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§4º - Havendo necessidade de concessão de outro jogo de uniforme, para substituição de um jogo anteriormente concedido, esta deverá observar o quantitativo disposto no pará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grafo anterior.  Caso haja necessidade superior ao estabelecido e comprovado que essa necessidade se deu por mau uso ou má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conservação, os custos serão devidos pelo trabalhador.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§5º - A simples solicitação quanto ao uso de determinado tipo de roupa nã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caracteriza obrigação de uniforme.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Exames Médicos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SEXTA - EXAMES MÉDICOS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Os exames médicos de admissão, demissão e outros estabelecidos em lei, serão custeados pelo CRF-MT obedecendo à legislação vigente.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Aceitação de Atesta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dos Médicos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SÉTIMA - ATESTADOS DE PROFISSIONAIS DE SAÚDE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listparagrap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Serão reconhecidos como válidos, para abono de faltas, os atestados fornecidos por profissionais devidamente inscritos e regulares com os respectivos Conselhos de Classe, que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comprove que o trabalhador esteja em consulta ou em sessão de tratamento de saúde, desde que contenham o carimbo com identificação do profissional emissor e assinatura.</w:t>
                  </w:r>
                </w:p>
                <w:p w:rsidR="00000000" w:rsidRDefault="00413306">
                  <w:pPr>
                    <w:pStyle w:val="listparagrap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§ 1º – Para fins de abono de faltas, o CRF-MT reconhecerá os documentos mencionados no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caput, que atestam o acompanhamento dos seus filhos menores de 12 (doze) anos e/ou inválidos de qualquer idade. Nos casos dos filhos com idade superior a já estipulada o funcionário poderá requerer ao Conselho o abano de faltas com a justificativa pertine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nte, tendo o Conselho à </w:t>
                  </w: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>discricionariedade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 abonar ou não a falta.</w:t>
                  </w:r>
                </w:p>
                <w:p w:rsidR="00000000" w:rsidRDefault="00413306">
                  <w:pPr>
                    <w:pStyle w:val="listparagrap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13306">
                  <w:pPr>
                    <w:pStyle w:val="listparagrap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2º - Os casos de afastamentos por motivos de problemas de saúde obedecerão ao disposto em legislação específica vigente.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13306">
                  <w:pPr>
                    <w:pStyle w:val="listparagrap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3º Serão aceitos em qualquer hipótese para efeito de abono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 faltas dos funcionários do CRF-MT, os atestados de profissionais de saúde fornecidos por órgão público de saúde, hospitais/clinicas/médicos particulares e profissionais de saúde contratados/credenciados/conveniados pelo/ao SINDIFISC-MT. No caso de ates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tados que comprovem acompanhamento de cônjuge e familiar que sejam dependentes do funcionário do CRF-MT, o funcionário poderá requerer ao Conselho o abano de faltas com a justificativa pertinente, tendo o Conselho à </w:t>
                  </w: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>discricionariedade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 abonar ou não a fa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lta.</w:t>
                  </w:r>
                </w:p>
                <w:p w:rsidR="00000000" w:rsidRDefault="00413306">
                  <w:pPr>
                    <w:pStyle w:val="corpodetexto2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§ 4º Nos casos de gestantes, os atestados e comprovantes de exames pré-natais abonarão o período de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realização do exame.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5º Será assegurada à funcionária lactante a redução da jornada de trabalho conforme previsto no Artigo. 396 da CLT.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Outr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as Normas de Prevenção de Acidentes e Doenças Profissionais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OITAVA - COMUNICAÇÃO DE ACIDENTE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questões referentes à segurança no trabalho e respectivos comunicados obedecerão ao disposto em norma vigente.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Acesso do Sindicato ao Local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NONA - ENTRADA DE DIRETORES SINDICAIS NO RECINTO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Sempre que se fizer necessário, os representantes do SINDFISC, e/ou da FENASERA - Federação Nacional dos Trab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alhadores nas Autarquias de Fiscalização do Exercício Profissional e nas Entidades Coligadas e Afins, com a devida anuência do CRF/MT, poderão ter acesso nos recintos de trabalho, para distribuição de boletins, convocatórias e para efetuar sindicalizações.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Representante Sindical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- REPRESENTAÇÃO SINDICAL NO LOCAL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Os direitos legais previstos aos dirigentes sindicais serão respeitados pelo CRF-MT.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Liberação de Empregados para Atividades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TRIGÉSIM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 PRIMEIRA - HORA SINDICAL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corpodetexto2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Será assegurado aos representantes do SINDFISC, com a devida anuência e comunicação prévia ao CRF/MT, no prazo mínimo de 15 (quinze) dias de antecedência, a concessão de 02 (duas) horas mensais, durante o expediente, para enco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ntro com os funcionários, com vistas a palestras e debates de assuntos sobre os interesses da categoria e à ação do sindicato.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SEGUNDA - LICENÇA AO ASSOCIADO DO SINDICATO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Fica garantida ao funcionário sindicalizado, sem prejuízo de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remuneração, devendo haver prévia autorização do CRF/MT, a sua participação,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  <w:u w:val="single"/>
                    </w:rPr>
                    <w:t>mediante convocação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de cursos, seminários, congressos etc., promovidos pelo SINDIFISC-MT e/ou pela Federação Nacional dos Trabalhadores nas Autarquias de Fiscalização do Exercíci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Profissional e nas Entidades Coligadas e Afins – FENASERA.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TERCEIRA - LICENÇA AO DIRIGENTE SINDICAL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Ao trabalhador membro da Diretoria do SINDIFISC-MT será garantida, sem qualquer prejuízo trabalhista, a participação em Reuniões 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rdinárias do Sindicato e será facilitada sua participação em Reuniões Extraordinárias e Representação da Entidade, quando designado,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  <w:u w:val="single"/>
                    </w:rPr>
                    <w:t>mediante convocação prévia pelo Presidente da Entidade e posterior comprovação de presença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ÁUSULA TRIGÉSIMA QUARTA - MENSALIDADE SINDICAL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mensalidades associativas sindicais, devidas pelos funcionários filiados ao SINDFISC-MT, deverão ser descontadas pelo Conselho em folha de pagamento, mediante autorização expressa do trabalhador e repass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ada ao SINDFISC-MT mediante depósito em conta corrente em nome da entidade, até o 10º (décimo) dia após a efetivação do desconto.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ÚNICO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– Em se tratando da contribuição sindical compulsória, o referido desconto e recolhimento obedecerá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ao disposto na legislação específica, ficando resguardado o direito do Farmacêutico Fiscal não filiado ao SINDIFISC-MT, o recolhimento da Contribuição Sindical para o sindicato representativo de sua categoria profissional, nos termos da lei, com a devida 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omprovação junto a contabilidade do CRF/MT.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13306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sobre relação entre sindicato e empresa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QUINTA - UTILIZAÇÃO DE QUADRO DE AVISOS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corpodetexto2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CRF-MT garantirá acesso dos dirigentes sindicais e espaç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em seu quadro de avisos, espaço para que o SINDIFISC-MT afixar seus comunicados, distribuição de boletins e/ou jornais de interesses da categoria profissional, vedado todo e qualquer material político – partidário e/ou de agravo direto ao empregador.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Regras para a Negociação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SEXTA - AÇÃO DE CUMPRIMENTO E COMPETÊNCIA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corpodetexto2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SINDFISC é competente para propor em nome da categoria, ação de cumprimento, em qualquer jurisdição, em relação às cláusulas do Acordo Coleti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vo de Trabalho, conforme disposto no capítulo II, artigo 8º da Constituição Federal.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1330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SÉTIMA - DA VIGÊNCIA DO ACORDO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Acordo Coletivo de Trabalho vigorará de 1º de maio de 2015 a 30 de abril de 2016.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único - O SINDIFISC-MT e o CRF-MT voltarão a se reunir até 30 dias antes da data base da categoria, em 2016, para negociação dos itens econômicos do Acordo Coletivo ora firmado, cabendo ao SINDIFISC-MT o envio de pauta de reivindicações a fim de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se respeitar o prazo estipulado.</w:t>
                  </w:r>
                </w:p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OITAVA - CASOS OMISSOS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Os assuntos não previstos em Lei e no Acordo Coletivo de Trabalho deverão ser acordados entre o Conselho e o SINDIFISC-MT.</w:t>
                  </w:r>
                </w:p>
                <w:p w:rsidR="00000000" w:rsidRDefault="0041330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  <w:u w:val="single"/>
                    </w:rPr>
                    <w:t> </w:t>
                  </w:r>
                </w:p>
                <w:p w:rsidR="00000000" w:rsidRDefault="00413306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6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1330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lastRenderedPageBreak/>
                          <w:t xml:space="preserve">REYNALDO DE MAGALHAES PASSOS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SINDICATO DOS EMPREGADOS DOS CONSELHOS E ORDENS DE FISCALIZACAO DO EXERCICIO PROFISSIONAL DO ESTADO DE MATO GROSSO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ALEXANDRE HENRIQUE MAGALHAES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CONSELHO REGIONAL DE FARMACIA DO ESTADO DE MATO GROSSO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41330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000000" w:rsidRDefault="00413306">
            <w:pPr>
              <w:rPr>
                <w:rFonts w:eastAsia="Times New Roman"/>
              </w:rPr>
            </w:pPr>
          </w:p>
        </w:tc>
      </w:tr>
    </w:tbl>
    <w:p w:rsidR="00413306" w:rsidRDefault="00413306">
      <w:pPr>
        <w:rPr>
          <w:rFonts w:eastAsia="Times New Roman"/>
        </w:rPr>
      </w:pPr>
    </w:p>
    <w:sectPr w:rsidR="00413306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D2804"/>
    <w:rsid w:val="000D2804"/>
    <w:rsid w:val="0041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 w:cs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orpodetexto21">
    <w:name w:val="corpodetexto21"/>
    <w:basedOn w:val="Normal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listparagraph">
    <w:name w:val="listparagraph"/>
    <w:basedOn w:val="Normal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 w:cs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orpodetexto21">
    <w:name w:val="corpodetexto21"/>
    <w:basedOn w:val="Normal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listparagraph">
    <w:name w:val="listparagraph"/>
    <w:basedOn w:val="Normal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2704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Mediador - Extrato Acordo Coletivo </vt:lpstr>
    </vt:vector>
  </TitlesOfParts>
  <Company/>
  <LinksUpToDate>false</LinksUpToDate>
  <CharactersWithSpaces>17277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Acordo Coletivo</dc:title>
  <dc:creator>SINDFISC</dc:creator>
  <cp:lastModifiedBy>SINDFISC</cp:lastModifiedBy>
  <cp:revision>2</cp:revision>
  <dcterms:created xsi:type="dcterms:W3CDTF">2015-07-01T21:14:00Z</dcterms:created>
  <dcterms:modified xsi:type="dcterms:W3CDTF">2015-07-01T21:14:00Z</dcterms:modified>
</cp:coreProperties>
</file>